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771" w:rsidRDefault="00B60771" w:rsidP="00B60771">
      <w:pPr>
        <w:pStyle w:val="Standard"/>
      </w:pPr>
      <w:r>
        <w:t xml:space="preserve">HETAL </w:t>
      </w:r>
      <w:proofErr w:type="spellStart"/>
      <w:r>
        <w:t>d.o.o</w:t>
      </w:r>
      <w:proofErr w:type="spellEnd"/>
      <w:r>
        <w:t>.</w:t>
      </w:r>
    </w:p>
    <w:p w:rsidR="00B60771" w:rsidRDefault="00B60771" w:rsidP="00B60771">
      <w:pPr>
        <w:pStyle w:val="Standard"/>
      </w:pPr>
      <w:r>
        <w:t>Roška cesta 18</w:t>
      </w:r>
    </w:p>
    <w:p w:rsidR="00B60771" w:rsidRDefault="00B60771" w:rsidP="00B60771">
      <w:pPr>
        <w:pStyle w:val="Standard"/>
      </w:pPr>
      <w:r>
        <w:t>1330 Kočevje</w:t>
      </w:r>
    </w:p>
    <w:p w:rsidR="00B60771" w:rsidRDefault="00B60771" w:rsidP="00B60771">
      <w:pPr>
        <w:pStyle w:val="Standard"/>
      </w:pPr>
    </w:p>
    <w:p w:rsidR="00B60771" w:rsidRDefault="00B60771" w:rsidP="00B60771">
      <w:pPr>
        <w:pStyle w:val="Standard"/>
      </w:pPr>
      <w:r>
        <w:t>SZZZZS</w:t>
      </w:r>
    </w:p>
    <w:p w:rsidR="00B60771" w:rsidRDefault="00B60771" w:rsidP="00B60771">
      <w:pPr>
        <w:pStyle w:val="Standard"/>
      </w:pPr>
      <w:hyperlink r:id="rId4" w:history="1">
        <w:r>
          <w:rPr>
            <w:rStyle w:val="Hiperpovezava"/>
            <w:rFonts w:ascii="arial, sans-serif" w:hAnsi="arial, sans-serif"/>
            <w:color w:val="1155CC"/>
            <w:sz w:val="18"/>
          </w:rPr>
          <w:t>info@zdravniki-zobozdravniki.net</w:t>
        </w:r>
      </w:hyperlink>
    </w:p>
    <w:p w:rsidR="00B60771" w:rsidRDefault="00B60771" w:rsidP="00B60771">
      <w:pPr>
        <w:pStyle w:val="Standard"/>
      </w:pPr>
    </w:p>
    <w:p w:rsidR="00B60771" w:rsidRDefault="00B60771" w:rsidP="00B60771">
      <w:pPr>
        <w:pStyle w:val="Standard"/>
      </w:pPr>
      <w:r>
        <w:t>Datum: 27.11.2015</w:t>
      </w:r>
    </w:p>
    <w:p w:rsidR="00B60771" w:rsidRDefault="00B60771" w:rsidP="00B60771">
      <w:pPr>
        <w:pStyle w:val="Standard"/>
      </w:pPr>
    </w:p>
    <w:p w:rsidR="00B60771" w:rsidRDefault="00B60771" w:rsidP="00B60771">
      <w:pPr>
        <w:pStyle w:val="Standard"/>
      </w:pPr>
    </w:p>
    <w:p w:rsidR="00B60771" w:rsidRDefault="00B60771" w:rsidP="00B60771">
      <w:pPr>
        <w:pStyle w:val="Standard"/>
        <w:ind w:left="1093" w:hanging="1104"/>
      </w:pPr>
      <w:r>
        <w:t xml:space="preserve">ZADEVA: </w:t>
      </w:r>
      <w:r>
        <w:rPr>
          <w:b/>
          <w:bCs/>
        </w:rPr>
        <w:t>Povzetek vsebine predavanja na temo davčne blagajne na Občnem zboru SZZZS dne, 21.11.2015</w:t>
      </w:r>
    </w:p>
    <w:p w:rsidR="00B60771" w:rsidRDefault="00B60771" w:rsidP="00B60771">
      <w:pPr>
        <w:pStyle w:val="Standard"/>
        <w:ind w:left="1093" w:hanging="1104"/>
      </w:pPr>
    </w:p>
    <w:p w:rsidR="00B60771" w:rsidRDefault="00B60771" w:rsidP="00B60771">
      <w:pPr>
        <w:pStyle w:val="Standard"/>
        <w:ind w:left="1093" w:hanging="1104"/>
      </w:pPr>
    </w:p>
    <w:p w:rsidR="00B60771" w:rsidRDefault="00B60771" w:rsidP="00B60771">
      <w:pPr>
        <w:pStyle w:val="Standard"/>
        <w:ind w:left="11" w:firstLine="11"/>
        <w:jc w:val="both"/>
      </w:pPr>
      <w:r>
        <w:t xml:space="preserve">V uvodnem delu je predavatelj g. Ivan </w:t>
      </w:r>
      <w:proofErr w:type="spellStart"/>
      <w:r>
        <w:t>Falaš</w:t>
      </w:r>
      <w:proofErr w:type="spellEnd"/>
      <w:r>
        <w:t xml:space="preserve"> poudaril namen in obveznosti, ki izhajajo iz Zakona o davčnem potrjevanju računov. V nadaljevanju je posebej izpostavil problematiko izvajanja postopka potrjevanja računov in vsebino računov pri gotovinskem plačevanju le-teh. Posebej je izpostavil namen zakona, ki se kaže v nalogi slehernega zavezanca, da za vsak izdani račun, ki bo plačan v gotovini opravi tudi ustrezno vknjižbo v prihodkih svojega poslovnega subjekt, saj je namen zakona povsem jasen in sicer fakturirati in v prihodkih izkazati vrednost vsake opravljene storitve ter s tem tudi izkazati realno vrednost davčne osnove in od le-te plačati predpisane davčne obveznosti. Ker ima zakon tudi drug povsem jasno izkazan namen, to je preprečitev dela na črno, bo  potrebno pri vsakem „gotovinskem računu“ tudi evidentirati in FURS-u sporočiti podatke o fizični osebi, ki je račun izdala.</w:t>
      </w:r>
    </w:p>
    <w:p w:rsidR="00B60771" w:rsidRDefault="00B60771" w:rsidP="00B60771">
      <w:pPr>
        <w:pStyle w:val="Standard"/>
        <w:ind w:left="11" w:firstLine="11"/>
        <w:jc w:val="both"/>
      </w:pPr>
    </w:p>
    <w:p w:rsidR="00B60771" w:rsidRDefault="00B60771" w:rsidP="00B60771">
      <w:pPr>
        <w:pStyle w:val="Standard"/>
        <w:ind w:left="11" w:firstLine="11"/>
        <w:jc w:val="both"/>
      </w:pPr>
      <w:r>
        <w:t>V tem delu je predavatelj podrobno pojasnil naloge vsakega zavezanca, ki jih mora le-ta opraviti pred uveljavitvijo zakona. Pojasnil je, da mora vsak zavezanec pridobiti namensko digitalno potrdilo za davčno potrjevanje računov, ki ga izda Ministrstvo za javno upravo brezplačno, toda na zahtevo bodisi zavezanca bodisi njegovega pooblaščenca (knjigovodskega servisa). Zavezanec mora tudi izvršiti popis poslovnih prostorov, v katerih opravlja dejavnost in v katerih izdaja gotovinske račune ter z zakonom zahtevane podatke posredovati FURS (naslov poslovnega prostora, katastrsko občino poslovnega prostora, številko stavbe in številko dela stavbe). Naloga vsakega zavezanca pa tudi je sporočiti FURS-u tudi podatke fizičnih oseb, ki bodo izstavljale gotovinske račune. Pred pričetkom izvajanja zakona pa mora zavezanec sprejeti tudi ustrezen interni akt, v katerem bo opredelil način izdajanja računov, način številčenja računov, določil opis poslovnih prostorov z vsemi elementi itd. Na zahtevo IO SZZZZS je predavatelj pripravil osnutke internih aktov, ki so ali pa bodo objavljeni na spletni strani SZZZZS. Poudaril je, da vsak zavezanec  mora sprejeti odločitev, kako bo poimenoval poslovni prostor(e), način številčenja računov (po poslovnem prostoru ali po elektronski napravi) in konkretno številčenje računov. Svojo odločitev mora sporočiti in uskladiti z dobaviteljem programske opreme, saj mora biti način številčenja gotovinskih računov na samem računu identičen načinu številčenja računov določenem v internem aktu.</w:t>
      </w:r>
    </w:p>
    <w:p w:rsidR="00B60771" w:rsidRDefault="00B60771" w:rsidP="00B60771">
      <w:pPr>
        <w:pStyle w:val="Standard"/>
        <w:ind w:left="11" w:firstLine="11"/>
        <w:jc w:val="both"/>
      </w:pPr>
    </w:p>
    <w:p w:rsidR="00B60771" w:rsidRDefault="00B60771" w:rsidP="00B60771">
      <w:pPr>
        <w:pStyle w:val="Standard"/>
        <w:ind w:left="11" w:firstLine="11"/>
        <w:jc w:val="both"/>
      </w:pPr>
      <w:r>
        <w:t xml:space="preserve">Pojasnil je, da zakon dopušča možnost, da se do vključno 31.12.2017 gotovinski računi izstavljajo po sistemu vezane knjige računov, kakor tudi po sistemu „mini blagajn“. V primeru, da se zavezanec odloči za sistem VKR mu zakon nalaga obveznost, da na posebni aplikaciji pri FURS najpozneje v 10 dneh po dnevu izstavitve računa z VKR le-tega tudi priglasi FURS. V primeru uporabe „mini blagajne“ pa se bo gotovinski račun izdajal z uporabo prav tako posebne aplikacije pri FURS toda v celoti, kar pomeni, da bo pacient na izdajo računa moral počakati toliko časa, dokler le-ta ni natisnjen. Z uporabo </w:t>
      </w:r>
      <w:proofErr w:type="spellStart"/>
      <w:r>
        <w:t>t.i</w:t>
      </w:r>
      <w:proofErr w:type="spellEnd"/>
      <w:r>
        <w:t xml:space="preserve">. davčne blagajne pa bo račun natisnjen in pacientu izročen v bistveno krajšem času, najpozneje v 5 sekundah, kar je velika prednost. Ne glede na izbrani sistem  izdajanja računov pa vsak zavezanec pred izdajo le-teh mora opraviti navedene naloge pridobitve digitalnega potrdila, posredovanja podatkov poslovnih prostorov, sprejem internega akta.  </w:t>
      </w:r>
    </w:p>
    <w:p w:rsidR="00B60771" w:rsidRDefault="00B60771" w:rsidP="00B60771">
      <w:pPr>
        <w:pStyle w:val="Standard"/>
        <w:ind w:left="11" w:firstLine="11"/>
        <w:jc w:val="both"/>
      </w:pPr>
    </w:p>
    <w:p w:rsidR="00B60771" w:rsidRDefault="00B60771" w:rsidP="00B60771">
      <w:pPr>
        <w:pStyle w:val="Standard"/>
        <w:ind w:left="11" w:firstLine="11"/>
        <w:jc w:val="both"/>
      </w:pPr>
      <w:r>
        <w:lastRenderedPageBreak/>
        <w:t>Poudarjena je bila tudi obveznost pacienta, da le-ta za vsako opravljeno in fakturirano storitev ne samo lahko zahteva izdajo računa, temveč da je dolžan račun prevzeti in ga hraniti najmanj toliko časa, dokler ne zapusti poslovnega prostora izdajatelja računa. Vsak zavezanec pa je posebej dolžan na vidnem mestu v svojem poslovnem prostoru izobesiti obvestilo, da je prejemnik računa dolžan le-tega prevzeti in hraniti. FURS je tekst tega obvestila objavil na svojem portalu in ga je mogoče uporabiti na način, ki zagotavlja potrebno informacijo prejemniku računa.</w:t>
      </w:r>
    </w:p>
    <w:p w:rsidR="00B60771" w:rsidRDefault="00B60771" w:rsidP="00B60771">
      <w:pPr>
        <w:pStyle w:val="Standard"/>
        <w:ind w:left="11" w:firstLine="11"/>
        <w:jc w:val="both"/>
      </w:pPr>
    </w:p>
    <w:p w:rsidR="00B60771" w:rsidRDefault="00B60771" w:rsidP="00B60771">
      <w:pPr>
        <w:pStyle w:val="Standard"/>
        <w:ind w:left="11" w:firstLine="11"/>
        <w:jc w:val="both"/>
      </w:pPr>
      <w:r>
        <w:t>Predavatelj je tudi seznanil navzoče, da je pravočasno pred pripravo na predavanju posredoval več vprašanj na FURS-u, ki so neposredno vezane na izvajanje zakona v povezavi z zdravstveno dejavnostjo, vendar odgovorov na ta vprašanja s strani FURS še ni prejel. Zaradi tega je dal obljubo, da bo tako vsebino vprašanj, kakor tudi odgovore FURS na le-ta takoj po prejemu odgovorov posredoval SZZZZS z namenom njihove objave na portalu združenja.</w:t>
      </w:r>
    </w:p>
    <w:p w:rsidR="00B60771" w:rsidRDefault="00B60771" w:rsidP="00B60771">
      <w:pPr>
        <w:pStyle w:val="Standard"/>
        <w:ind w:left="11" w:firstLine="11"/>
        <w:jc w:val="both"/>
      </w:pPr>
    </w:p>
    <w:p w:rsidR="00B60771" w:rsidRDefault="00B60771" w:rsidP="00B60771">
      <w:pPr>
        <w:pStyle w:val="Standard"/>
        <w:ind w:left="11" w:firstLine="11"/>
        <w:jc w:val="both"/>
      </w:pPr>
      <w:r>
        <w:t xml:space="preserve">Posebej natančno je pojasnil tiste določbe zakona, ki govorijo o vsebini računov za davčno potrjevanje računov in določila, ki opredeljujejo, kaj vse se po tem zakonu šteje za račun za razliko od Zakona o DDV. Na kratko je obrazložil pomen in vsebino kratic EOR in ZOI, torej novih </w:t>
      </w:r>
      <w:proofErr w:type="spellStart"/>
      <w:r>
        <w:t>novih</w:t>
      </w:r>
      <w:proofErr w:type="spellEnd"/>
      <w:r>
        <w:t xml:space="preserve"> elementov gotovinskih računov. Prav tako je pojasnil, kako ravnati v primeru, ko elektronska naprava za izdajo računov iz kakršnih koli razlogov ne bi delovala ali v primeru, da so komunikacijske vezi s FURS motene. Poudaril je tudi, da je zavezanec za izdajo gotovinskih računov in njihovo davčno potrditev prav vsak tisti poslovni subjekt, ki izda račun, ki je v delu ali v celoti gotovinsko plačan ne glede na dejavnost, ki jo opravlja in sistem vodenja poslovnih knjig. Zaradi tega je podal tudi odgovor na vprašanje, kaj vse šteje za gotovinsko plačilo računov, s posebnim poudarkom, da se za negotovinsko plačilo računov šteje plačilo računa na TRR, kakor tudi plačilo računa v postopku kompenzacije.</w:t>
      </w:r>
    </w:p>
    <w:p w:rsidR="00B60771" w:rsidRDefault="00B60771" w:rsidP="00B60771">
      <w:pPr>
        <w:pStyle w:val="Standard"/>
        <w:ind w:left="11" w:firstLine="11"/>
        <w:jc w:val="both"/>
      </w:pPr>
    </w:p>
    <w:p w:rsidR="00B60771" w:rsidRDefault="00B60771" w:rsidP="00B60771">
      <w:pPr>
        <w:pStyle w:val="Standard"/>
        <w:ind w:left="11" w:firstLine="11"/>
        <w:jc w:val="both"/>
      </w:pPr>
      <w:r>
        <w:t>Glede na visoke predpisane kazni zaradi nespoštovanja zakonskih določb se je posebej osredotočil na obveznost točne evidence iz fizične osebe - izdajatelja računa, saj na računu njegova davčna številka ne bo označena, čeprav bo FURS le-to s pomočjo svojega programa takoj zaznal in posledično imel možnost preveriti resničnost zapisnega podatka.</w:t>
      </w:r>
    </w:p>
    <w:p w:rsidR="00B60771" w:rsidRDefault="00B60771" w:rsidP="00B60771">
      <w:pPr>
        <w:pStyle w:val="Standard"/>
        <w:ind w:left="11" w:firstLine="11"/>
        <w:jc w:val="both"/>
      </w:pPr>
    </w:p>
    <w:p w:rsidR="00B60771" w:rsidRDefault="00B60771" w:rsidP="00B60771">
      <w:pPr>
        <w:pStyle w:val="Standard"/>
        <w:ind w:left="11" w:firstLine="11"/>
        <w:jc w:val="both"/>
      </w:pPr>
      <w:r>
        <w:t xml:space="preserve">Pojasnjeno je bilo tudi, da se na FURS lahko pošiljajo tudi drugi računi torej tudi tisti, za katere se pričakuje, da ne bodo plačani v gotovini in za katere ni potrebno pridobiti EOR s strani FURS. V nadaljevanju je bilo tudi izpostavljeno vprašanje, kako ravnati v primeru, ko pacient zahteva izdajo kopije računov, koliko časa shranjevati oz. arhivirati izdane račune, kako ravnati v primeru </w:t>
      </w:r>
      <w:proofErr w:type="spellStart"/>
      <w:r>
        <w:t>t.i</w:t>
      </w:r>
      <w:proofErr w:type="spellEnd"/>
      <w:r>
        <w:t>. nultih računov itd. Ker je FURS na svoji spletni strani objavil številna vprašanja zavezancev za izvajanje zakona skupaj z odgovori na zastavljena vprašanja je predavatelj navzoče tudi seznanil z najpomembnejšimi vprašanji in odgovori FURS-a, ki so glede na zdravstveno dejavnost aktualni. Na koncu svojega predavanja pa je pozval vse člane SZZZZS, da morebitna svoja konkretna vprašanja glede izvajanja zakona posredujejo na naslov strokovnega združenja. Sam se je zavezal, da bo na vsa zastavljena vprašanja v roku nekaj dni po prejemu le-teh posredoval odgovor strokovnemu združenju na zastavljeno vprašanje z namenom objave le-tega na spletni strani združenja in posredovanju odgovora članu, ki je vprašanje zastavil.</w:t>
      </w:r>
    </w:p>
    <w:p w:rsidR="00B60771" w:rsidRDefault="00B60771" w:rsidP="00B60771">
      <w:pPr>
        <w:pStyle w:val="Standard"/>
        <w:ind w:left="11" w:firstLine="11"/>
        <w:jc w:val="both"/>
      </w:pPr>
      <w:r>
        <w:t xml:space="preserve"> </w:t>
      </w:r>
    </w:p>
    <w:p w:rsidR="00B60771" w:rsidRDefault="00B60771" w:rsidP="00B60771">
      <w:pPr>
        <w:pStyle w:val="Standard"/>
        <w:ind w:left="11" w:firstLine="11"/>
        <w:jc w:val="both"/>
      </w:pPr>
    </w:p>
    <w:p w:rsidR="003262BE" w:rsidRPr="00B60771" w:rsidRDefault="003262BE" w:rsidP="00B60771">
      <w:bookmarkStart w:id="0" w:name="_GoBack"/>
      <w:bookmarkEnd w:id="0"/>
    </w:p>
    <w:sectPr w:rsidR="003262BE" w:rsidRPr="00B60771">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sans-serif">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2A2"/>
    <w:rsid w:val="003262BE"/>
    <w:rsid w:val="003C46FB"/>
    <w:rsid w:val="004535B5"/>
    <w:rsid w:val="007132A2"/>
    <w:rsid w:val="007732A5"/>
    <w:rsid w:val="007A5F9F"/>
    <w:rsid w:val="00817963"/>
    <w:rsid w:val="0095238A"/>
    <w:rsid w:val="00AE4EE5"/>
    <w:rsid w:val="00B60771"/>
    <w:rsid w:val="00F804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8903C-4FBE-4659-8499-D163FEC4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before="240" w:line="200" w:lineRule="exact"/>
        <w:ind w:left="340" w:right="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132A2"/>
    <w:pPr>
      <w:widowControl w:val="0"/>
      <w:suppressAutoHyphens/>
      <w:autoSpaceDN w:val="0"/>
      <w:spacing w:before="0" w:line="240" w:lineRule="auto"/>
      <w:ind w:left="0" w:right="0"/>
      <w:textAlignment w:val="baseline"/>
    </w:pPr>
    <w:rPr>
      <w:rFonts w:ascii="Times New Roman" w:eastAsia="Lucida Sans Unicode" w:hAnsi="Times New Roman" w:cs="Mangal"/>
      <w:kern w:val="3"/>
      <w:sz w:val="24"/>
      <w:szCs w:val="24"/>
      <w:lang w:eastAsia="zh-CN" w:bidi="hi-I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7132A2"/>
    <w:pPr>
      <w:widowControl w:val="0"/>
      <w:suppressAutoHyphens/>
      <w:autoSpaceDN w:val="0"/>
      <w:spacing w:before="0" w:line="240" w:lineRule="auto"/>
      <w:ind w:left="0" w:right="0"/>
      <w:textAlignment w:val="baseline"/>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rsid w:val="007132A2"/>
    <w:pPr>
      <w:suppressLineNumbers/>
    </w:pPr>
  </w:style>
  <w:style w:type="character" w:styleId="Hiperpovezava">
    <w:name w:val="Hyperlink"/>
    <w:basedOn w:val="Privzetapisavaodstavka"/>
    <w:uiPriority w:val="99"/>
    <w:semiHidden/>
    <w:unhideWhenUsed/>
    <w:rsid w:val="00B60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10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zdravniki-zobozdravniki.ne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1062</Words>
  <Characters>6060</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cp:lastModifiedBy>
  <cp:revision>3</cp:revision>
  <dcterms:created xsi:type="dcterms:W3CDTF">2015-11-27T10:08:00Z</dcterms:created>
  <dcterms:modified xsi:type="dcterms:W3CDTF">2015-11-27T10:08:00Z</dcterms:modified>
</cp:coreProperties>
</file>